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88CB1" w14:textId="7A975C7F"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 </w:t>
      </w:r>
      <w:r w:rsidRPr="00926446">
        <w:rPr>
          <w:rFonts w:ascii="Arial" w:eastAsia="Batang" w:hAnsi="Arial" w:cs="Arial"/>
          <w:b/>
          <w:bCs/>
          <w:sz w:val="28"/>
          <w:szCs w:val="24"/>
        </w:rPr>
        <w:t>10</w:t>
      </w:r>
      <w:r>
        <w:rPr>
          <w:rFonts w:ascii="Arial" w:eastAsia="Batang" w:hAnsi="Arial" w:cs="Arial"/>
          <w:b/>
          <w:bCs/>
          <w:sz w:val="28"/>
          <w:szCs w:val="24"/>
        </w:rPr>
        <w:t xml:space="preserve">3-e                                                                 </w:t>
      </w:r>
      <w:r w:rsidR="00862C24" w:rsidRPr="00862C24">
        <w:rPr>
          <w:rFonts w:ascii="Arial" w:eastAsia="Batang" w:hAnsi="Arial" w:cs="Arial"/>
          <w:b/>
          <w:bCs/>
          <w:sz w:val="28"/>
          <w:szCs w:val="24"/>
        </w:rPr>
        <w:t>R1-2</w:t>
      </w:r>
      <w:r w:rsidR="009839D1">
        <w:rPr>
          <w:rFonts w:ascii="Arial" w:eastAsia="Batang" w:hAnsi="Arial" w:cs="Arial"/>
          <w:b/>
          <w:bCs/>
          <w:sz w:val="28"/>
          <w:szCs w:val="24"/>
        </w:rPr>
        <w:t>100685</w:t>
      </w:r>
    </w:p>
    <w:p w14:paraId="6CBA2AD4" w14:textId="2EA413AA" w:rsidR="00387F27" w:rsidRPr="002E16F4" w:rsidRDefault="002A340E" w:rsidP="002A340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January</w:t>
      </w:r>
      <w:r w:rsidRPr="00030A95">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 </w:t>
      </w:r>
      <w:r>
        <w:rPr>
          <w:rFonts w:ascii="Arial" w:eastAsia="MS Mincho" w:hAnsi="Arial" w:cs="Arial"/>
          <w:b/>
          <w:bCs/>
          <w:sz w:val="28"/>
          <w:szCs w:val="24"/>
          <w:lang w:eastAsia="ja-JP"/>
        </w:rPr>
        <w:t>February</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2400A89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B2A4F" w:rsidRPr="008B2A4F">
        <w:rPr>
          <w:rFonts w:ascii="Arial" w:eastAsia="Malgun Gothic" w:hAnsi="Arial" w:cs="Arial"/>
          <w:b/>
          <w:sz w:val="24"/>
          <w:lang w:val="en-US" w:eastAsia="ko-KR"/>
        </w:rPr>
        <w:t>On HARQ enhancements for NB-IoT and eMTC NTN</w:t>
      </w:r>
    </w:p>
    <w:p w14:paraId="3596330A" w14:textId="1BF6AB0E"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F91C90">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3153A60" w14:textId="5AEC2C4D" w:rsidR="00193AEA" w:rsidRDefault="00193AEA" w:rsidP="00193AEA">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/eMTC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evaluate and confirm solutions to address the minimum necessary specifications for NB-IoT and eMTC</w:t>
      </w:r>
      <w:r w:rsidR="002531F3">
        <w:rPr>
          <w:sz w:val="22"/>
          <w:szCs w:val="22"/>
          <w:lang w:val="en-US" w:eastAsia="ko-KR"/>
        </w:rPr>
        <w:t xml:space="preserve"> NTN</w:t>
      </w:r>
      <w:r>
        <w:rPr>
          <w:sz w:val="22"/>
          <w:szCs w:val="22"/>
          <w:lang w:val="en-US" w:eastAsia="ko-KR"/>
        </w:rPr>
        <w:t xml:space="preserve">. One of the objectives which is related to RAN1 is to </w:t>
      </w:r>
      <w:r w:rsidRPr="00A72B07">
        <w:rPr>
          <w:sz w:val="22"/>
          <w:szCs w:val="22"/>
          <w:lang w:val="en-US" w:eastAsia="ko-KR"/>
        </w:rPr>
        <w:t>study and recommend necessary changes to support NB-IoT and eMTC over satellite, reusing as much as possible the conclusions of the studies performed for NR NTN in TR38.821</w:t>
      </w:r>
      <w:r>
        <w:rPr>
          <w:sz w:val="22"/>
          <w:szCs w:val="22"/>
          <w:lang w:val="en-US" w:eastAsia="ko-KR"/>
        </w:rPr>
        <w:t xml:space="preserve"> </w:t>
      </w:r>
      <w:r w:rsidR="00713F95">
        <w:rPr>
          <w:sz w:val="22"/>
          <w:szCs w:val="22"/>
          <w:lang w:val="en-US" w:eastAsia="ko-KR"/>
        </w:rPr>
        <w:t xml:space="preserve">[2] </w:t>
      </w:r>
      <w:r>
        <w:rPr>
          <w:sz w:val="22"/>
          <w:szCs w:val="22"/>
          <w:lang w:val="en-US" w:eastAsia="ko-KR"/>
        </w:rPr>
        <w:t>including the following items.</w:t>
      </w:r>
    </w:p>
    <w:p w14:paraId="606D3037"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Aspects related to random access procedure/signals</w:t>
      </w:r>
    </w:p>
    <w:p w14:paraId="57DFA8CA"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Mechanisms for time/frequency adjustment including Timing Advance, and UL frequency compensation indication</w:t>
      </w:r>
    </w:p>
    <w:p w14:paraId="3A5B3310"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Timing offset related to scheduling and HARQ-ACK feedback</w:t>
      </w:r>
    </w:p>
    <w:p w14:paraId="57C2B2F2" w14:textId="77777777" w:rsidR="00193AEA" w:rsidRPr="00D02073"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Aspects related to HARQ operation</w:t>
      </w:r>
    </w:p>
    <w:p w14:paraId="6357C85A" w14:textId="3571962E" w:rsidR="00193AEA" w:rsidRPr="000B4ADF" w:rsidRDefault="00193AEA" w:rsidP="00193AEA">
      <w:pPr>
        <w:snapToGrid w:val="0"/>
        <w:spacing w:before="240" w:after="120"/>
        <w:ind w:right="-99"/>
        <w:jc w:val="both"/>
        <w:rPr>
          <w:sz w:val="22"/>
          <w:szCs w:val="22"/>
          <w:lang w:eastAsia="ko-KR"/>
        </w:rPr>
      </w:pPr>
      <w:r>
        <w:rPr>
          <w:sz w:val="22"/>
          <w:szCs w:val="22"/>
          <w:lang w:eastAsia="ko-KR"/>
        </w:rPr>
        <w:t xml:space="preserve">In this contribution possible enhancements </w:t>
      </w:r>
      <w:r w:rsidR="007E285A">
        <w:rPr>
          <w:sz w:val="22"/>
          <w:szCs w:val="22"/>
          <w:lang w:eastAsia="ko-KR"/>
        </w:rPr>
        <w:t xml:space="preserve">to HARQ </w:t>
      </w:r>
      <w:r>
        <w:rPr>
          <w:sz w:val="22"/>
          <w:szCs w:val="22"/>
          <w:lang w:eastAsia="ko-KR"/>
        </w:rPr>
        <w:t xml:space="preserve">for </w:t>
      </w:r>
      <w:r w:rsidRPr="005C3FE0">
        <w:rPr>
          <w:sz w:val="22"/>
          <w:szCs w:val="22"/>
          <w:lang w:val="en-US" w:eastAsia="ko-KR"/>
        </w:rPr>
        <w:t>NB-Io</w:t>
      </w:r>
      <w:r>
        <w:rPr>
          <w:sz w:val="22"/>
          <w:szCs w:val="22"/>
          <w:lang w:val="en-US" w:eastAsia="ko-KR"/>
        </w:rPr>
        <w:t>T</w:t>
      </w:r>
      <w:r w:rsidRPr="005C3FE0">
        <w:rPr>
          <w:sz w:val="22"/>
          <w:szCs w:val="22"/>
          <w:lang w:val="en-US" w:eastAsia="ko-KR"/>
        </w:rPr>
        <w:t xml:space="preserve">/eMTC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Pr>
          <w:sz w:val="22"/>
          <w:szCs w:val="22"/>
          <w:lang w:eastAsia="ko-KR"/>
        </w:rPr>
        <w:t xml:space="preserve">. </w:t>
      </w:r>
    </w:p>
    <w:p w14:paraId="5284D425" w14:textId="5B06780B" w:rsidR="004C11B7" w:rsidRPr="00896D01" w:rsidRDefault="00790513" w:rsidP="00896D01">
      <w:pPr>
        <w:pStyle w:val="Heading1"/>
        <w:numPr>
          <w:ilvl w:val="0"/>
          <w:numId w:val="5"/>
        </w:numPr>
        <w:spacing w:before="120" w:after="60"/>
        <w:jc w:val="both"/>
        <w:rPr>
          <w:rFonts w:cs="Arial"/>
          <w:lang w:val="en-US"/>
        </w:rPr>
      </w:pPr>
      <w:r>
        <w:rPr>
          <w:rFonts w:cs="Arial"/>
          <w:lang w:val="en-US"/>
        </w:rPr>
        <w:t>Discussion</w:t>
      </w:r>
    </w:p>
    <w:p w14:paraId="4DF5B5D0" w14:textId="22B118B3" w:rsidR="00D15180" w:rsidRDefault="00D15180" w:rsidP="00D15180">
      <w:pPr>
        <w:spacing w:before="240" w:after="240"/>
        <w:jc w:val="both"/>
        <w:rPr>
          <w:iCs/>
        </w:rPr>
      </w:pPr>
      <w:r>
        <w:rPr>
          <w:iCs/>
        </w:rPr>
        <w:t>In NR NTN disabling of HARQ feedback is considered in order to avoid stop-and-wait HARQ operation and enable peak throughput.</w:t>
      </w:r>
      <w:r w:rsidR="00CB2BFE">
        <w:rPr>
          <w:iCs/>
        </w:rPr>
        <w:t xml:space="preserve"> S</w:t>
      </w:r>
      <w:r w:rsidR="00DF2448">
        <w:rPr>
          <w:iCs/>
        </w:rPr>
        <w:t xml:space="preserve">ince HARQ operation is essential for some messages (e.g. DL MAC-CE reception), HARQ feedback should be supported at least for one HARQ process. Thus, HARQ feedback disabling for subset of HARQ processes is supported for NR NTN. Similar feature should be supported for eMTC NTN. Since NB-IoT NTN has 1 or 2 HARQ processes disabling of HARQ operation may </w:t>
      </w:r>
      <w:r w:rsidR="001F16C1">
        <w:rPr>
          <w:iCs/>
        </w:rPr>
        <w:t>not be needed</w:t>
      </w:r>
      <w:r w:rsidR="00DF2448">
        <w:rPr>
          <w:iCs/>
        </w:rPr>
        <w:t xml:space="preserve">. </w:t>
      </w:r>
    </w:p>
    <w:p w14:paraId="554778F1" w14:textId="7DD9A91A" w:rsidR="00EE5562" w:rsidRDefault="00B71BE5" w:rsidP="00D15180">
      <w:pPr>
        <w:spacing w:before="240" w:after="240"/>
        <w:jc w:val="both"/>
        <w:rPr>
          <w:iCs/>
        </w:rPr>
      </w:pPr>
      <w:r>
        <w:rPr>
          <w:iCs/>
        </w:rPr>
        <w:t>Asynchronous adaptive HARQ is supported for DL</w:t>
      </w:r>
      <w:r w:rsidR="00387081">
        <w:rPr>
          <w:iCs/>
        </w:rPr>
        <w:t xml:space="preserve"> and UL for eMTC </w:t>
      </w:r>
      <w:r w:rsidR="00B00A1D">
        <w:rPr>
          <w:iCs/>
        </w:rPr>
        <w:t>similar to NR</w:t>
      </w:r>
      <w:r>
        <w:rPr>
          <w:iCs/>
        </w:rPr>
        <w:t xml:space="preserve">. </w:t>
      </w:r>
      <w:r w:rsidR="00B00A1D">
        <w:rPr>
          <w:iCs/>
        </w:rPr>
        <w:t xml:space="preserve">Thus, similar design of HARQ feedback disabling as for NR can be used for eMTC. </w:t>
      </w:r>
      <w:r w:rsidR="00387081">
        <w:rPr>
          <w:iCs/>
        </w:rPr>
        <w:t>For NB-IoT up to 1 HARQ processes is supported in Rel. 13 and up to 2 HARQ processes is supported in Rel. 14</w:t>
      </w:r>
      <w:r w:rsidR="00B00A1D">
        <w:rPr>
          <w:iCs/>
        </w:rPr>
        <w:t>, HARQ</w:t>
      </w:r>
      <w:r w:rsidR="00EF00B6">
        <w:rPr>
          <w:iCs/>
        </w:rPr>
        <w:t xml:space="preserve"> in UL and DL NB-IoT</w:t>
      </w:r>
      <w:r w:rsidR="00B00A1D">
        <w:rPr>
          <w:iCs/>
        </w:rPr>
        <w:t xml:space="preserve"> is adaptive and asynchronous</w:t>
      </w:r>
      <w:r w:rsidR="00387081">
        <w:rPr>
          <w:iCs/>
        </w:rPr>
        <w:t>.</w:t>
      </w:r>
      <w:r w:rsidR="00B00A1D">
        <w:rPr>
          <w:iCs/>
        </w:rPr>
        <w:t xml:space="preserve"> For the case of 1 HARQ process HARQ feedback should be always enabled to support such features as MAC CE reception. For the case of 2 HARQ processes HARQ feedback for 1 HARQ process can be disabled.</w:t>
      </w:r>
    </w:p>
    <w:p w14:paraId="54A1DC12" w14:textId="5A529F87" w:rsidR="00E020DC" w:rsidRPr="001C5849" w:rsidRDefault="00E020DC" w:rsidP="00D15180">
      <w:pPr>
        <w:spacing w:before="240" w:after="240"/>
        <w:jc w:val="both"/>
        <w:rPr>
          <w:b/>
          <w:bCs/>
          <w:iCs/>
        </w:rPr>
      </w:pPr>
      <w:r w:rsidRPr="001C5849">
        <w:rPr>
          <w:b/>
          <w:bCs/>
          <w:i/>
        </w:rPr>
        <w:t xml:space="preserve">Proposal </w:t>
      </w:r>
      <w:r w:rsidR="00C737A5">
        <w:rPr>
          <w:b/>
          <w:bCs/>
          <w:i/>
        </w:rPr>
        <w:t>1</w:t>
      </w:r>
      <w:r w:rsidRPr="001C5849">
        <w:rPr>
          <w:b/>
          <w:bCs/>
          <w:iCs/>
        </w:rPr>
        <w:t xml:space="preserve">: </w:t>
      </w:r>
    </w:p>
    <w:p w14:paraId="6FD4B7FB" w14:textId="795DAD0F" w:rsidR="00E020DC" w:rsidRPr="00126C75" w:rsidRDefault="0038296A" w:rsidP="00E020DC">
      <w:pPr>
        <w:pStyle w:val="ListParagraph"/>
        <w:numPr>
          <w:ilvl w:val="0"/>
          <w:numId w:val="33"/>
        </w:numPr>
        <w:spacing w:before="240" w:after="240"/>
        <w:jc w:val="both"/>
        <w:rPr>
          <w:rFonts w:ascii="Times New Roman" w:hAnsi="Times New Roman"/>
          <w:i/>
          <w:iCs/>
        </w:rPr>
      </w:pPr>
      <w:r w:rsidRPr="00126C75">
        <w:rPr>
          <w:rFonts w:ascii="Times New Roman" w:hAnsi="Times New Roman"/>
          <w:i/>
          <w:iCs/>
        </w:rPr>
        <w:t>For NTN the network could disable HARQ feedback for DL</w:t>
      </w:r>
      <w:r w:rsidR="00EF00B6">
        <w:rPr>
          <w:rFonts w:ascii="Times New Roman" w:hAnsi="Times New Roman"/>
          <w:i/>
          <w:iCs/>
        </w:rPr>
        <w:t xml:space="preserve"> transmission</w:t>
      </w:r>
      <w:r w:rsidRPr="00126C75">
        <w:rPr>
          <w:rFonts w:ascii="Times New Roman" w:hAnsi="Times New Roman"/>
          <w:i/>
          <w:iCs/>
        </w:rPr>
        <w:t xml:space="preserve"> for eMTC and NB-IoT with 2 HARQ processes</w:t>
      </w:r>
    </w:p>
    <w:p w14:paraId="58361392" w14:textId="7D8F7484" w:rsidR="0038296A" w:rsidRDefault="0038296A" w:rsidP="0038296A">
      <w:pPr>
        <w:pStyle w:val="ListParagraph"/>
        <w:numPr>
          <w:ilvl w:val="1"/>
          <w:numId w:val="33"/>
        </w:numPr>
        <w:spacing w:before="240" w:after="240"/>
        <w:jc w:val="both"/>
        <w:rPr>
          <w:rFonts w:ascii="Times New Roman" w:hAnsi="Times New Roman"/>
          <w:i/>
          <w:iCs/>
        </w:rPr>
      </w:pPr>
      <w:r w:rsidRPr="00126C75">
        <w:rPr>
          <w:rFonts w:ascii="Times New Roman" w:hAnsi="Times New Roman"/>
          <w:i/>
          <w:iCs/>
        </w:rPr>
        <w:t>The enabling/disabling of HARQ should be configurable on a per UE and per HARQ process basis via RRC signalling</w:t>
      </w:r>
    </w:p>
    <w:p w14:paraId="16DCBBA0" w14:textId="77777777" w:rsidR="00C737A5" w:rsidRDefault="00C737A5" w:rsidP="00C737A5">
      <w:pPr>
        <w:spacing w:before="240" w:after="240"/>
        <w:jc w:val="both"/>
        <w:rPr>
          <w:iCs/>
          <w:sz w:val="22"/>
          <w:szCs w:val="22"/>
        </w:rPr>
      </w:pPr>
      <w:r w:rsidRPr="00536790">
        <w:rPr>
          <w:iCs/>
          <w:sz w:val="22"/>
          <w:szCs w:val="22"/>
        </w:rPr>
        <w:lastRenderedPageBreak/>
        <w:t xml:space="preserve">One </w:t>
      </w:r>
      <w:r>
        <w:rPr>
          <w:iCs/>
          <w:sz w:val="22"/>
          <w:szCs w:val="22"/>
        </w:rPr>
        <w:t>feature which was considered in NR NTN SI [2] is increased number of HARQ processes. The increased number of HARQ processes is needed to achieve high data rate with high spectral efficiency considering large delays of NTN. Typical applications for NB-IoT and eMTC does not require high data rates, increased number of HARQ processes may lead to increased cost of devices for NB-IoT and eMTC. Moreover, increased number of HARQ processes was already considered in previous realises. Thus, we propose not to consider increased number of HARQ processes for NB-IoT and eMTC NTN.</w:t>
      </w:r>
    </w:p>
    <w:p w14:paraId="2D16B867" w14:textId="1F598F31" w:rsidR="00C737A5" w:rsidRDefault="00C737A5" w:rsidP="00C737A5">
      <w:pPr>
        <w:spacing w:before="240" w:after="240"/>
        <w:jc w:val="both"/>
        <w:rPr>
          <w:iCs/>
          <w:sz w:val="22"/>
          <w:szCs w:val="22"/>
        </w:rPr>
      </w:pPr>
      <w:r w:rsidRPr="00332110">
        <w:rPr>
          <w:b/>
          <w:bCs/>
          <w:i/>
          <w:sz w:val="22"/>
          <w:szCs w:val="22"/>
        </w:rPr>
        <w:t xml:space="preserve">Proposal </w:t>
      </w:r>
      <w:r>
        <w:rPr>
          <w:b/>
          <w:bCs/>
          <w:i/>
          <w:sz w:val="22"/>
          <w:szCs w:val="22"/>
        </w:rPr>
        <w:t>2</w:t>
      </w:r>
      <w:r>
        <w:rPr>
          <w:iCs/>
          <w:sz w:val="22"/>
          <w:szCs w:val="22"/>
        </w:rPr>
        <w:t xml:space="preserve">: </w:t>
      </w:r>
    </w:p>
    <w:p w14:paraId="0375DCE0" w14:textId="2265DA2A" w:rsidR="00C737A5" w:rsidRPr="00C737A5" w:rsidRDefault="00C737A5" w:rsidP="00C737A5">
      <w:pPr>
        <w:pStyle w:val="ListParagraph"/>
        <w:numPr>
          <w:ilvl w:val="0"/>
          <w:numId w:val="33"/>
        </w:numPr>
        <w:spacing w:before="240" w:after="240"/>
        <w:jc w:val="both"/>
        <w:rPr>
          <w:rFonts w:ascii="Times New Roman" w:hAnsi="Times New Roman"/>
          <w:i/>
        </w:rPr>
      </w:pPr>
      <w:r w:rsidRPr="003C7CF4">
        <w:rPr>
          <w:rFonts w:ascii="Times New Roman" w:hAnsi="Times New Roman"/>
          <w:i/>
        </w:rPr>
        <w:t>Increased number of HARQ processes is not considered in NB-IoT/eMTC NTN SI</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2BE53533" w:rsidR="00E17F6E" w:rsidRDefault="00E17F6E" w:rsidP="00C73CBB">
      <w:pPr>
        <w:jc w:val="both"/>
        <w:rPr>
          <w:sz w:val="22"/>
          <w:szCs w:val="22"/>
        </w:rPr>
      </w:pPr>
      <w:r w:rsidRPr="000B4ADF">
        <w:rPr>
          <w:sz w:val="22"/>
          <w:szCs w:val="22"/>
          <w:lang w:eastAsia="ko-KR"/>
        </w:rPr>
        <w:t>In this contribution aspects related to</w:t>
      </w:r>
      <w:r w:rsidR="00CB3978">
        <w:rPr>
          <w:sz w:val="22"/>
          <w:szCs w:val="22"/>
          <w:lang w:eastAsia="ko-KR"/>
        </w:rPr>
        <w:t xml:space="preserve"> HARQ</w:t>
      </w:r>
      <w:r w:rsidRPr="000B4ADF">
        <w:rPr>
          <w:sz w:val="22"/>
          <w:szCs w:val="22"/>
          <w:lang w:eastAsia="ko-KR"/>
        </w:rPr>
        <w:t xml:space="preserve"> </w:t>
      </w:r>
      <w:r w:rsidR="00435F07">
        <w:rPr>
          <w:sz w:val="22"/>
          <w:szCs w:val="22"/>
          <w:lang w:eastAsia="ko-KR"/>
        </w:rPr>
        <w:t>enhancements for NB-IoT/eMTC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are made.</w:t>
      </w:r>
    </w:p>
    <w:p w14:paraId="4147E16B" w14:textId="77777777" w:rsidR="00201B63" w:rsidRPr="001C5849" w:rsidRDefault="00201B63" w:rsidP="00201B63">
      <w:pPr>
        <w:spacing w:before="240" w:after="240"/>
        <w:jc w:val="both"/>
        <w:rPr>
          <w:b/>
          <w:bCs/>
          <w:iCs/>
        </w:rPr>
      </w:pPr>
      <w:r w:rsidRPr="001C5849">
        <w:rPr>
          <w:b/>
          <w:bCs/>
          <w:i/>
        </w:rPr>
        <w:t xml:space="preserve">Proposal </w:t>
      </w:r>
      <w:r>
        <w:rPr>
          <w:b/>
          <w:bCs/>
          <w:i/>
        </w:rPr>
        <w:t>1</w:t>
      </w:r>
      <w:r w:rsidRPr="001C5849">
        <w:rPr>
          <w:b/>
          <w:bCs/>
          <w:iCs/>
        </w:rPr>
        <w:t xml:space="preserve">: </w:t>
      </w:r>
    </w:p>
    <w:p w14:paraId="7D9FA421" w14:textId="77777777" w:rsidR="00201B63" w:rsidRPr="00126C75" w:rsidRDefault="00201B63" w:rsidP="00201B63">
      <w:pPr>
        <w:pStyle w:val="ListParagraph"/>
        <w:numPr>
          <w:ilvl w:val="0"/>
          <w:numId w:val="33"/>
        </w:numPr>
        <w:spacing w:before="240" w:after="240"/>
        <w:jc w:val="both"/>
        <w:rPr>
          <w:rFonts w:ascii="Times New Roman" w:hAnsi="Times New Roman"/>
          <w:i/>
          <w:iCs/>
        </w:rPr>
      </w:pPr>
      <w:r w:rsidRPr="00126C75">
        <w:rPr>
          <w:rFonts w:ascii="Times New Roman" w:hAnsi="Times New Roman"/>
          <w:i/>
          <w:iCs/>
        </w:rPr>
        <w:t>For NTN the network could disable HARQ feedback for DL</w:t>
      </w:r>
      <w:r>
        <w:rPr>
          <w:rFonts w:ascii="Times New Roman" w:hAnsi="Times New Roman"/>
          <w:i/>
          <w:iCs/>
        </w:rPr>
        <w:t xml:space="preserve"> transmission</w:t>
      </w:r>
      <w:r w:rsidRPr="00126C75">
        <w:rPr>
          <w:rFonts w:ascii="Times New Roman" w:hAnsi="Times New Roman"/>
          <w:i/>
          <w:iCs/>
        </w:rPr>
        <w:t xml:space="preserve"> for eMTC and NB-IoT with 2 HARQ processes</w:t>
      </w:r>
    </w:p>
    <w:p w14:paraId="70687328" w14:textId="77777777" w:rsidR="00201B63" w:rsidRDefault="00201B63" w:rsidP="00201B63">
      <w:pPr>
        <w:pStyle w:val="ListParagraph"/>
        <w:numPr>
          <w:ilvl w:val="1"/>
          <w:numId w:val="33"/>
        </w:numPr>
        <w:spacing w:before="240" w:after="240"/>
        <w:jc w:val="both"/>
        <w:rPr>
          <w:rFonts w:ascii="Times New Roman" w:hAnsi="Times New Roman"/>
          <w:i/>
          <w:iCs/>
        </w:rPr>
      </w:pPr>
      <w:r w:rsidRPr="00126C75">
        <w:rPr>
          <w:rFonts w:ascii="Times New Roman" w:hAnsi="Times New Roman"/>
          <w:i/>
          <w:iCs/>
        </w:rPr>
        <w:t>The enabling/disabling of HARQ should be configurable on a per UE and per HARQ process basis via RRC signalling</w:t>
      </w:r>
    </w:p>
    <w:p w14:paraId="29A9A947" w14:textId="77777777" w:rsidR="00BA391C" w:rsidRDefault="00BA391C" w:rsidP="00BA391C">
      <w:pPr>
        <w:spacing w:before="240" w:after="240"/>
        <w:jc w:val="both"/>
        <w:rPr>
          <w:iCs/>
          <w:sz w:val="22"/>
          <w:szCs w:val="22"/>
        </w:rPr>
      </w:pPr>
      <w:bookmarkStart w:id="0" w:name="_GoBack"/>
      <w:bookmarkEnd w:id="0"/>
      <w:r w:rsidRPr="00332110">
        <w:rPr>
          <w:b/>
          <w:bCs/>
          <w:i/>
          <w:sz w:val="22"/>
          <w:szCs w:val="22"/>
        </w:rPr>
        <w:t xml:space="preserve">Proposal </w:t>
      </w:r>
      <w:r>
        <w:rPr>
          <w:b/>
          <w:bCs/>
          <w:i/>
          <w:sz w:val="22"/>
          <w:szCs w:val="22"/>
        </w:rPr>
        <w:t>2</w:t>
      </w:r>
      <w:r>
        <w:rPr>
          <w:iCs/>
          <w:sz w:val="22"/>
          <w:szCs w:val="22"/>
        </w:rPr>
        <w:t xml:space="preserve">: </w:t>
      </w:r>
    </w:p>
    <w:p w14:paraId="2637ED5C" w14:textId="49ED1BDC" w:rsidR="00BA391C" w:rsidRPr="00BA391C" w:rsidRDefault="00BA391C" w:rsidP="00BA391C">
      <w:pPr>
        <w:pStyle w:val="ListParagraph"/>
        <w:numPr>
          <w:ilvl w:val="0"/>
          <w:numId w:val="33"/>
        </w:numPr>
        <w:spacing w:before="240" w:after="240"/>
        <w:jc w:val="both"/>
        <w:rPr>
          <w:rFonts w:ascii="Times New Roman" w:hAnsi="Times New Roman"/>
          <w:i/>
        </w:rPr>
      </w:pPr>
      <w:r w:rsidRPr="003C7CF4">
        <w:rPr>
          <w:rFonts w:ascii="Times New Roman" w:hAnsi="Times New Roman"/>
          <w:i/>
        </w:rPr>
        <w:t>Increased number of HARQ processes is not considered in NB-IoT/eMTC NTN SI</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AD1C635" w14:textId="77777777" w:rsidR="001F3607" w:rsidRPr="005C3FE0" w:rsidRDefault="001F3607" w:rsidP="001F3607">
      <w:pPr>
        <w:numPr>
          <w:ilvl w:val="0"/>
          <w:numId w:val="2"/>
        </w:numPr>
        <w:rPr>
          <w:sz w:val="22"/>
          <w:lang w:eastAsia="zh-CN"/>
        </w:rPr>
      </w:pPr>
      <w:r w:rsidRPr="00552F61">
        <w:rPr>
          <w:sz w:val="22"/>
        </w:rPr>
        <w:t>RP-193235</w:t>
      </w:r>
      <w:r w:rsidRPr="005C3FE0">
        <w:rPr>
          <w:sz w:val="22"/>
        </w:rPr>
        <w:t xml:space="preserve"> </w:t>
      </w:r>
      <w:r w:rsidRPr="00D3068D">
        <w:rPr>
          <w:sz w:val="22"/>
        </w:rPr>
        <w:t>Study on NB-Io/eMTC support for Non-Terrestrial Network</w:t>
      </w:r>
    </w:p>
    <w:p w14:paraId="2B88125D" w14:textId="7CF65028" w:rsidR="00921C00" w:rsidRPr="00A22926" w:rsidRDefault="00CF7DE4" w:rsidP="00921C00">
      <w:pPr>
        <w:numPr>
          <w:ilvl w:val="0"/>
          <w:numId w:val="2"/>
        </w:numPr>
        <w:rPr>
          <w:sz w:val="22"/>
          <w:lang w:eastAsia="zh-CN"/>
        </w:rPr>
      </w:pPr>
      <w:r w:rsidRPr="001F3607">
        <w:rPr>
          <w:sz w:val="22"/>
          <w:lang w:eastAsia="zh-CN"/>
        </w:rPr>
        <w:t>3GPP TR 38.821 V16.0.0 (2019-12)</w:t>
      </w:r>
      <w:r w:rsidR="00EB57B2" w:rsidRPr="001F3607">
        <w:rPr>
          <w:sz w:val="22"/>
          <w:lang w:eastAsia="zh-CN"/>
        </w:rPr>
        <w:t>;</w:t>
      </w:r>
      <w:r w:rsidRPr="001F3607">
        <w:rPr>
          <w:sz w:val="22"/>
          <w:lang w:eastAsia="zh-CN"/>
        </w:rPr>
        <w:t xml:space="preserve"> 3rd Generation Partnership Project; Technical Specification Group Radio Access Network; Solutions for NR to support non-terrestrial networks (NTN) (Release 16)</w:t>
      </w:r>
    </w:p>
    <w:sectPr w:rsidR="00921C00" w:rsidRPr="00A22926"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D7CB2" w14:textId="77777777" w:rsidR="00B97887" w:rsidRDefault="00B97887">
      <w:r>
        <w:separator/>
      </w:r>
    </w:p>
  </w:endnote>
  <w:endnote w:type="continuationSeparator" w:id="0">
    <w:p w14:paraId="10DD698E" w14:textId="77777777" w:rsidR="00B97887" w:rsidRDefault="00B9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6E6AB" w14:textId="77777777" w:rsidR="00B97887" w:rsidRDefault="00B97887">
      <w:r>
        <w:separator/>
      </w:r>
    </w:p>
  </w:footnote>
  <w:footnote w:type="continuationSeparator" w:id="0">
    <w:p w14:paraId="73CBF163" w14:textId="77777777" w:rsidR="00B97887" w:rsidRDefault="00B9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EC8678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75AB2"/>
    <w:multiLevelType w:val="hybridMultilevel"/>
    <w:tmpl w:val="76E8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4"/>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9"/>
  </w:num>
  <w:num w:numId="7">
    <w:abstractNumId w:val="3"/>
  </w:num>
  <w:num w:numId="8">
    <w:abstractNumId w:val="30"/>
  </w:num>
  <w:num w:numId="9">
    <w:abstractNumId w:val="1"/>
  </w:num>
  <w:num w:numId="10">
    <w:abstractNumId w:val="2"/>
  </w:num>
  <w:num w:numId="11">
    <w:abstractNumId w:val="4"/>
  </w:num>
  <w:num w:numId="12">
    <w:abstractNumId w:val="7"/>
  </w:num>
  <w:num w:numId="13">
    <w:abstractNumId w:val="27"/>
  </w:num>
  <w:num w:numId="14">
    <w:abstractNumId w:val="33"/>
  </w:num>
  <w:num w:numId="15">
    <w:abstractNumId w:val="5"/>
  </w:num>
  <w:num w:numId="16">
    <w:abstractNumId w:val="17"/>
  </w:num>
  <w:num w:numId="17">
    <w:abstractNumId w:val="26"/>
  </w:num>
  <w:num w:numId="18">
    <w:abstractNumId w:val="21"/>
  </w:num>
  <w:num w:numId="19">
    <w:abstractNumId w:val="20"/>
  </w:num>
  <w:num w:numId="20">
    <w:abstractNumId w:val="28"/>
  </w:num>
  <w:num w:numId="21">
    <w:abstractNumId w:val="32"/>
  </w:num>
  <w:num w:numId="22">
    <w:abstractNumId w:val="8"/>
  </w:num>
  <w:num w:numId="23">
    <w:abstractNumId w:val="31"/>
  </w:num>
  <w:num w:numId="24">
    <w:abstractNumId w:val="23"/>
  </w:num>
  <w:num w:numId="25">
    <w:abstractNumId w:val="6"/>
  </w:num>
  <w:num w:numId="26">
    <w:abstractNumId w:val="15"/>
  </w:num>
  <w:num w:numId="27">
    <w:abstractNumId w:val="13"/>
  </w:num>
  <w:num w:numId="28">
    <w:abstractNumId w:val="18"/>
  </w:num>
  <w:num w:numId="29">
    <w:abstractNumId w:val="24"/>
  </w:num>
  <w:num w:numId="30">
    <w:abstractNumId w:val="19"/>
  </w:num>
  <w:num w:numId="31">
    <w:abstractNumId w:val="25"/>
  </w:num>
  <w:num w:numId="32">
    <w:abstractNumId w:val="14"/>
  </w:num>
  <w:num w:numId="33">
    <w:abstractNumId w:val="9"/>
  </w:num>
  <w:num w:numId="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42"/>
    <w:rsid w:val="000B2B61"/>
    <w:rsid w:val="000B2CA6"/>
    <w:rsid w:val="000B32D4"/>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6C75"/>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3AEA"/>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49"/>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C1"/>
    <w:rsid w:val="001F16FD"/>
    <w:rsid w:val="001F1B1E"/>
    <w:rsid w:val="001F1DFA"/>
    <w:rsid w:val="001F214F"/>
    <w:rsid w:val="001F22A9"/>
    <w:rsid w:val="001F2536"/>
    <w:rsid w:val="001F26BB"/>
    <w:rsid w:val="001F26E9"/>
    <w:rsid w:val="001F290F"/>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63"/>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95"/>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E1A"/>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40E"/>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9A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94"/>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96A"/>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81"/>
    <w:rsid w:val="003870BC"/>
    <w:rsid w:val="0038732E"/>
    <w:rsid w:val="00387489"/>
    <w:rsid w:val="00387675"/>
    <w:rsid w:val="00387758"/>
    <w:rsid w:val="00387771"/>
    <w:rsid w:val="00387854"/>
    <w:rsid w:val="00387B2B"/>
    <w:rsid w:val="00387D1D"/>
    <w:rsid w:val="00387F27"/>
    <w:rsid w:val="00390344"/>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1C4"/>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641"/>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00F"/>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AF9"/>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AA2"/>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B7C82"/>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85A"/>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01"/>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A4F"/>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F59"/>
    <w:rsid w:val="0090411E"/>
    <w:rsid w:val="009045C7"/>
    <w:rsid w:val="0090480E"/>
    <w:rsid w:val="00904A52"/>
    <w:rsid w:val="00904A62"/>
    <w:rsid w:val="00904B6D"/>
    <w:rsid w:val="00904E1D"/>
    <w:rsid w:val="009054E7"/>
    <w:rsid w:val="00905A06"/>
    <w:rsid w:val="00905DE8"/>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9D1"/>
    <w:rsid w:val="00983C41"/>
    <w:rsid w:val="00984206"/>
    <w:rsid w:val="00984441"/>
    <w:rsid w:val="0098470E"/>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331"/>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A1D"/>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53"/>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BE5"/>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887"/>
    <w:rsid w:val="00B97B85"/>
    <w:rsid w:val="00B97D46"/>
    <w:rsid w:val="00B97D8D"/>
    <w:rsid w:val="00BA04F0"/>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AEB"/>
    <w:rsid w:val="00BA2DED"/>
    <w:rsid w:val="00BA2E29"/>
    <w:rsid w:val="00BA3129"/>
    <w:rsid w:val="00BA3909"/>
    <w:rsid w:val="00BA391C"/>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0A1"/>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67C"/>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0CCA"/>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7A5"/>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BFE"/>
    <w:rsid w:val="00CB2CA4"/>
    <w:rsid w:val="00CB2E92"/>
    <w:rsid w:val="00CB3460"/>
    <w:rsid w:val="00CB3886"/>
    <w:rsid w:val="00CB3978"/>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180"/>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4DEB"/>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448"/>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0DC"/>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62"/>
    <w:rsid w:val="00EE558A"/>
    <w:rsid w:val="00EE5CF1"/>
    <w:rsid w:val="00EE62B4"/>
    <w:rsid w:val="00EE6359"/>
    <w:rsid w:val="00EE636D"/>
    <w:rsid w:val="00EE6378"/>
    <w:rsid w:val="00EE66B1"/>
    <w:rsid w:val="00EE67A5"/>
    <w:rsid w:val="00EE69C1"/>
    <w:rsid w:val="00EE69CA"/>
    <w:rsid w:val="00EE7D91"/>
    <w:rsid w:val="00EE7ECE"/>
    <w:rsid w:val="00EF00B6"/>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B1E"/>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90"/>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40C1AE4-B7EF-405C-B06B-B09AD1BA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18427</TotalTime>
  <Pages>2</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3812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1500</cp:revision>
  <cp:lastPrinted>2011-11-09T07:49:00Z</cp:lastPrinted>
  <dcterms:created xsi:type="dcterms:W3CDTF">2018-11-02T18:38:00Z</dcterms:created>
  <dcterms:modified xsi:type="dcterms:W3CDTF">2021-01-18T12:02:00Z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